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625"/>
        <w:gridCol w:w="7054"/>
      </w:tblGrid>
      <w:tr w:rsidR="008D32DC" w:rsidRPr="007923AB" w14:paraId="0276A2E8" w14:textId="77777777" w:rsidTr="007923AB">
        <w:tc>
          <w:tcPr>
            <w:tcW w:w="1701" w:type="dxa"/>
            <w:shd w:val="clear" w:color="auto" w:fill="auto"/>
          </w:tcPr>
          <w:p w14:paraId="148AE6F0" w14:textId="77777777" w:rsidR="008D32DC" w:rsidRPr="007923AB" w:rsidRDefault="008D32DC" w:rsidP="0068081C">
            <w:pPr>
              <w:pStyle w:val="Header"/>
              <w:rPr>
                <w:rStyle w:val="Strong"/>
                <w:bCs w:val="0"/>
                <w:caps/>
                <w:sz w:val="16"/>
                <w:szCs w:val="16"/>
                <w:lang w:val="en-US"/>
              </w:rPr>
            </w:pPr>
          </w:p>
        </w:tc>
        <w:tc>
          <w:tcPr>
            <w:tcW w:w="7384" w:type="dxa"/>
            <w:shd w:val="clear" w:color="auto" w:fill="auto"/>
          </w:tcPr>
          <w:p w14:paraId="2FCA3392" w14:textId="77777777" w:rsidR="008D32DC" w:rsidRPr="007923AB" w:rsidRDefault="0058224B" w:rsidP="007923AB">
            <w:pPr>
              <w:pStyle w:val="Header"/>
              <w:jc w:val="right"/>
              <w:rPr>
                <w:b/>
                <w:caps/>
                <w:sz w:val="20"/>
                <w:lang w:val="en-US"/>
              </w:rPr>
            </w:pPr>
            <w:r>
              <w:rPr>
                <w:rStyle w:val="Strong"/>
              </w:rPr>
              <w:t>ICAS III</w:t>
            </w:r>
          </w:p>
          <w:p w14:paraId="7B294339" w14:textId="77777777" w:rsidR="008D32DC" w:rsidRPr="007923AB" w:rsidRDefault="0058224B" w:rsidP="007923AB">
            <w:pPr>
              <w:pStyle w:val="Header"/>
              <w:jc w:val="right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Bandung</w:t>
            </w:r>
            <w:r w:rsidR="001C3CBF">
              <w:rPr>
                <w:sz w:val="20"/>
                <w:lang w:val="es-ES"/>
              </w:rPr>
              <w:t xml:space="preserve">, </w:t>
            </w:r>
            <w:r>
              <w:rPr>
                <w:sz w:val="20"/>
                <w:lang w:val="es-ES"/>
              </w:rPr>
              <w:t>1</w:t>
            </w:r>
            <w:r w:rsidR="00A36B95" w:rsidRPr="007923AB">
              <w:rPr>
                <w:sz w:val="20"/>
                <w:lang w:val="es-ES"/>
              </w:rPr>
              <w:t>-</w:t>
            </w:r>
            <w:r>
              <w:rPr>
                <w:sz w:val="20"/>
                <w:lang w:val="es-ES"/>
              </w:rPr>
              <w:t>2</w:t>
            </w:r>
            <w:r w:rsidR="00A36B95" w:rsidRPr="007923AB">
              <w:rPr>
                <w:sz w:val="20"/>
                <w:lang w:val="es-ES"/>
              </w:rPr>
              <w:t xml:space="preserve"> </w:t>
            </w:r>
            <w:r>
              <w:rPr>
                <w:sz w:val="20"/>
                <w:lang w:val="es-ES"/>
              </w:rPr>
              <w:t>Nov</w:t>
            </w:r>
            <w:r w:rsidR="001C3CBF">
              <w:rPr>
                <w:sz w:val="20"/>
                <w:lang w:val="es-ES"/>
              </w:rPr>
              <w:t>, 202</w:t>
            </w:r>
            <w:r>
              <w:rPr>
                <w:sz w:val="20"/>
                <w:lang w:val="es-ES"/>
              </w:rPr>
              <w:t>3</w:t>
            </w:r>
          </w:p>
          <w:p w14:paraId="7904E414" w14:textId="77777777" w:rsidR="008D32DC" w:rsidRPr="007923AB" w:rsidRDefault="008D32DC" w:rsidP="007923AB">
            <w:pPr>
              <w:pStyle w:val="Header"/>
              <w:jc w:val="right"/>
              <w:rPr>
                <w:sz w:val="16"/>
                <w:szCs w:val="16"/>
                <w:lang w:val="es-ES"/>
              </w:rPr>
            </w:pPr>
          </w:p>
          <w:p w14:paraId="4BAED591" w14:textId="77777777" w:rsidR="008D32DC" w:rsidRPr="007923AB" w:rsidRDefault="008D32DC" w:rsidP="007923AB">
            <w:pPr>
              <w:pStyle w:val="Header"/>
              <w:jc w:val="right"/>
              <w:rPr>
                <w:b/>
                <w:sz w:val="16"/>
                <w:szCs w:val="16"/>
                <w:lang w:val="es-ES"/>
              </w:rPr>
            </w:pPr>
          </w:p>
          <w:p w14:paraId="0D43F0B9" w14:textId="77777777" w:rsidR="008D32DC" w:rsidRPr="007923AB" w:rsidRDefault="008D32DC" w:rsidP="007923AB">
            <w:pPr>
              <w:pStyle w:val="Header"/>
              <w:jc w:val="right"/>
              <w:rPr>
                <w:rStyle w:val="Strong"/>
                <w:bCs w:val="0"/>
                <w:caps/>
                <w:sz w:val="16"/>
                <w:szCs w:val="16"/>
                <w:lang w:val="en-US"/>
              </w:rPr>
            </w:pPr>
          </w:p>
        </w:tc>
      </w:tr>
    </w:tbl>
    <w:p w14:paraId="1C544C84" w14:textId="77777777" w:rsidR="00BF3BA7" w:rsidRDefault="00BF3BA7" w:rsidP="00BF3BA7">
      <w:pPr>
        <w:pStyle w:val="Titleofthepaper"/>
        <w:jc w:val="both"/>
        <w:rPr>
          <w:rFonts w:ascii="Times New Roman" w:hAnsi="Times New Roman"/>
          <w:spacing w:val="4"/>
        </w:rPr>
      </w:pPr>
    </w:p>
    <w:p w14:paraId="69081A34" w14:textId="7FA19165" w:rsidR="006D7A71" w:rsidRPr="00CA236D" w:rsidRDefault="00DF67BA" w:rsidP="00B7285C">
      <w:pPr>
        <w:pStyle w:val="Titleofthepaper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 xml:space="preserve">The Relationship Between Gross Regional Domestic Product and Foreign </w:t>
      </w:r>
      <w:r w:rsidR="0081579B">
        <w:rPr>
          <w:rFonts w:ascii="Times New Roman" w:hAnsi="Times New Roman"/>
          <w:spacing w:val="4"/>
        </w:rPr>
        <w:t xml:space="preserve">Direct </w:t>
      </w:r>
      <w:r>
        <w:rPr>
          <w:rFonts w:ascii="Times New Roman" w:hAnsi="Times New Roman"/>
          <w:spacing w:val="4"/>
        </w:rPr>
        <w:t>Investment in Indonesia</w:t>
      </w:r>
      <w:r w:rsidR="002D589D">
        <w:rPr>
          <w:rFonts w:ascii="Times New Roman" w:hAnsi="Times New Roman"/>
          <w:spacing w:val="4"/>
        </w:rPr>
        <w:t>’</w:t>
      </w:r>
      <w:r>
        <w:rPr>
          <w:rFonts w:ascii="Times New Roman" w:hAnsi="Times New Roman"/>
          <w:spacing w:val="4"/>
        </w:rPr>
        <w:t>s Provinces</w:t>
      </w:r>
    </w:p>
    <w:p w14:paraId="76E21AD9" w14:textId="77777777" w:rsidR="00215587" w:rsidRPr="00CA236D" w:rsidRDefault="00215587" w:rsidP="00B31155">
      <w:pPr>
        <w:pStyle w:val="Authorname"/>
        <w:spacing w:before="0"/>
        <w:jc w:val="left"/>
        <w:rPr>
          <w:spacing w:val="4"/>
        </w:rPr>
      </w:pPr>
    </w:p>
    <w:p w14:paraId="65C634C2" w14:textId="709A912B" w:rsidR="006D7A71" w:rsidRPr="00621AE7" w:rsidRDefault="00C069E3" w:rsidP="00B7285C">
      <w:pPr>
        <w:pStyle w:val="Authorname"/>
        <w:spacing w:before="0"/>
        <w:rPr>
          <w:spacing w:val="4"/>
          <w:position w:val="15"/>
          <w:sz w:val="16"/>
          <w:vertAlign w:val="superscript"/>
        </w:rPr>
      </w:pPr>
      <w:r>
        <w:rPr>
          <w:spacing w:val="4"/>
        </w:rPr>
        <w:t>Darrell Nathaniel Pieter Gees Manua</w:t>
      </w:r>
      <w:r w:rsidR="00387A19">
        <w:rPr>
          <w:spacing w:val="4"/>
        </w:rPr>
        <w:t>*</w:t>
      </w:r>
      <w:r w:rsidR="00387A19">
        <w:rPr>
          <w:spacing w:val="4"/>
          <w:vertAlign w:val="superscript"/>
        </w:rPr>
        <w:t>1</w:t>
      </w:r>
      <w:r w:rsidR="006D7A71" w:rsidRPr="00CA236D">
        <w:rPr>
          <w:spacing w:val="4"/>
        </w:rPr>
        <w:t xml:space="preserve">, </w:t>
      </w:r>
      <w:r w:rsidR="00E6573F">
        <w:rPr>
          <w:spacing w:val="4"/>
        </w:rPr>
        <w:t>Bimo Rachmadien Syah Lasena</w:t>
      </w:r>
      <w:r w:rsidR="00E6573F">
        <w:rPr>
          <w:rStyle w:val="FootnoteCharacters"/>
          <w:spacing w:val="4"/>
          <w:lang w:val="en-US"/>
        </w:rPr>
        <w:t>2</w:t>
      </w:r>
      <w:r w:rsidR="00621AE7">
        <w:rPr>
          <w:spacing w:val="4"/>
        </w:rPr>
        <w:t xml:space="preserve">, </w:t>
      </w:r>
      <w:r w:rsidR="00E6573F">
        <w:rPr>
          <w:spacing w:val="4"/>
        </w:rPr>
        <w:t>Fahmi Ramadhani</w:t>
      </w:r>
      <w:r w:rsidR="00387A19">
        <w:rPr>
          <w:rStyle w:val="FootnoteCharacters"/>
          <w:spacing w:val="4"/>
          <w:lang w:val="en-US"/>
        </w:rPr>
        <w:t>3</w:t>
      </w:r>
      <w:r w:rsidR="00621AE7">
        <w:rPr>
          <w:rStyle w:val="FootnoteCharacters"/>
          <w:spacing w:val="4"/>
          <w:vertAlign w:val="baseline"/>
          <w:lang w:val="en-US"/>
        </w:rPr>
        <w:t xml:space="preserve"> and Triyani Hendrawati</w:t>
      </w:r>
      <w:r w:rsidR="00621AE7">
        <w:rPr>
          <w:rStyle w:val="FootnoteCharacters"/>
          <w:spacing w:val="4"/>
          <w:lang w:val="en-US"/>
        </w:rPr>
        <w:t>4</w:t>
      </w:r>
    </w:p>
    <w:p w14:paraId="7FE2E046" w14:textId="77777777" w:rsidR="002B0E79" w:rsidRPr="00CA236D" w:rsidRDefault="002B0E79" w:rsidP="00215587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lang w:val="en-US"/>
        </w:rPr>
      </w:pPr>
    </w:p>
    <w:p w14:paraId="3DC2C98D" w14:textId="0E4C044A" w:rsidR="002B0E79" w:rsidRPr="00CA236D" w:rsidRDefault="00387A19" w:rsidP="00B7285C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2"/>
          <w:szCs w:val="22"/>
          <w:lang w:val="en-US"/>
        </w:rPr>
      </w:pPr>
      <w:r w:rsidRPr="00387A19">
        <w:rPr>
          <w:sz w:val="22"/>
          <w:szCs w:val="22"/>
          <w:vertAlign w:val="superscript"/>
          <w:lang w:val="en-US"/>
        </w:rPr>
        <w:t>1</w:t>
      </w:r>
      <w:r>
        <w:rPr>
          <w:sz w:val="22"/>
          <w:szCs w:val="22"/>
          <w:vertAlign w:val="superscript"/>
          <w:lang w:val="en-US"/>
        </w:rPr>
        <w:t>, 2</w:t>
      </w:r>
      <w:r w:rsidR="00C069E3">
        <w:rPr>
          <w:sz w:val="22"/>
          <w:szCs w:val="22"/>
          <w:vertAlign w:val="superscript"/>
          <w:lang w:val="en-US"/>
        </w:rPr>
        <w:t>, 3</w:t>
      </w:r>
      <w:r w:rsidR="00621AE7">
        <w:rPr>
          <w:sz w:val="22"/>
          <w:szCs w:val="22"/>
          <w:vertAlign w:val="superscript"/>
          <w:lang w:val="en-US"/>
        </w:rPr>
        <w:t>, 4</w:t>
      </w:r>
      <w:r w:rsidR="002B0E79" w:rsidRPr="00CA236D">
        <w:rPr>
          <w:sz w:val="22"/>
          <w:szCs w:val="22"/>
          <w:lang w:val="en-US"/>
        </w:rPr>
        <w:t xml:space="preserve"> </w:t>
      </w:r>
      <w:r w:rsidR="00C069E3">
        <w:rPr>
          <w:sz w:val="22"/>
          <w:szCs w:val="22"/>
          <w:lang w:val="en-US"/>
        </w:rPr>
        <w:t>Statistics Department</w:t>
      </w:r>
      <w:r w:rsidR="00917823">
        <w:rPr>
          <w:sz w:val="22"/>
          <w:szCs w:val="22"/>
          <w:lang w:val="en-US"/>
        </w:rPr>
        <w:t xml:space="preserve">, </w:t>
      </w:r>
      <w:r w:rsidR="00E6573F">
        <w:rPr>
          <w:sz w:val="22"/>
          <w:szCs w:val="22"/>
          <w:lang w:val="en-US"/>
        </w:rPr>
        <w:t>Universitas Padjadjaran</w:t>
      </w:r>
      <w:r w:rsidR="00917823">
        <w:rPr>
          <w:sz w:val="22"/>
          <w:szCs w:val="22"/>
          <w:lang w:val="en-US"/>
        </w:rPr>
        <w:t xml:space="preserve">, </w:t>
      </w:r>
      <w:r w:rsidR="00C069E3">
        <w:rPr>
          <w:sz w:val="22"/>
          <w:szCs w:val="22"/>
          <w:lang w:val="en-US"/>
        </w:rPr>
        <w:t>Indonesia</w:t>
      </w:r>
      <w:r w:rsidR="00215587" w:rsidRPr="00CA236D">
        <w:rPr>
          <w:sz w:val="22"/>
          <w:szCs w:val="22"/>
          <w:lang w:val="en-US"/>
        </w:rPr>
        <w:t>.</w:t>
      </w:r>
    </w:p>
    <w:p w14:paraId="74BB0441" w14:textId="4CBE4D15" w:rsidR="00215587" w:rsidRDefault="002B0E79" w:rsidP="00B7285C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2"/>
          <w:szCs w:val="22"/>
          <w:lang w:val="en-US"/>
        </w:rPr>
      </w:pPr>
      <w:r w:rsidRPr="00CA236D">
        <w:rPr>
          <w:sz w:val="22"/>
          <w:szCs w:val="22"/>
          <w:lang w:val="en-US"/>
        </w:rPr>
        <w:t xml:space="preserve">(E-mail: </w:t>
      </w:r>
      <w:hyperlink r:id="rId10" w:history="1">
        <w:r w:rsidR="00C069E3" w:rsidRPr="00820252">
          <w:rPr>
            <w:rStyle w:val="Hyperlink"/>
            <w:sz w:val="22"/>
            <w:szCs w:val="22"/>
          </w:rPr>
          <w:t>darrell21001@mail.unpad.ac.id</w:t>
        </w:r>
      </w:hyperlink>
      <w:r w:rsidR="00C069E3">
        <w:rPr>
          <w:sz w:val="22"/>
          <w:szCs w:val="22"/>
          <w:lang w:val="en-US"/>
        </w:rPr>
        <w:t>, bimo21001@mail.unpad.ac.id</w:t>
      </w:r>
      <w:r w:rsidR="00E6573F" w:rsidRPr="00CA236D">
        <w:rPr>
          <w:sz w:val="22"/>
          <w:szCs w:val="22"/>
          <w:lang w:val="en-US"/>
        </w:rPr>
        <w:t xml:space="preserve">, </w:t>
      </w:r>
      <w:hyperlink r:id="rId11" w:history="1">
        <w:r w:rsidR="00621AE7" w:rsidRPr="004176B8">
          <w:rPr>
            <w:rStyle w:val="Hyperlink"/>
            <w:sz w:val="22"/>
            <w:szCs w:val="22"/>
          </w:rPr>
          <w:t>fahmi21007@mail.unpad.ac.id</w:t>
        </w:r>
      </w:hyperlink>
      <w:r w:rsidR="00621AE7">
        <w:rPr>
          <w:sz w:val="22"/>
          <w:szCs w:val="22"/>
          <w:lang w:val="en-US"/>
        </w:rPr>
        <w:t xml:space="preserve">, </w:t>
      </w:r>
      <w:hyperlink r:id="rId12" w:history="1">
        <w:r w:rsidR="00621AE7" w:rsidRPr="00FB3ADE">
          <w:rPr>
            <w:rStyle w:val="Hyperlink"/>
            <w:sz w:val="22"/>
            <w:szCs w:val="18"/>
          </w:rPr>
          <w:t>triyani.hendrawati@unpad.ac.id</w:t>
        </w:r>
      </w:hyperlink>
      <w:r w:rsidR="00801C22" w:rsidRPr="00CA236D">
        <w:rPr>
          <w:sz w:val="22"/>
          <w:szCs w:val="22"/>
          <w:lang w:val="en-US"/>
        </w:rPr>
        <w:t>)</w:t>
      </w:r>
    </w:p>
    <w:p w14:paraId="3BC80702" w14:textId="77777777" w:rsidR="00215587" w:rsidRDefault="00215587" w:rsidP="00215587">
      <w:pPr>
        <w:pStyle w:val="AEuroAbstract"/>
        <w:spacing w:before="0"/>
        <w:rPr>
          <w:b/>
          <w:spacing w:val="4"/>
        </w:rPr>
      </w:pPr>
    </w:p>
    <w:p w14:paraId="06FA38D9" w14:textId="77777777" w:rsidR="00B7285C" w:rsidRPr="00CA236D" w:rsidRDefault="00B7285C" w:rsidP="00215587">
      <w:pPr>
        <w:pStyle w:val="AEuroAbstract"/>
        <w:spacing w:before="0"/>
        <w:rPr>
          <w:b/>
          <w:spacing w:val="4"/>
        </w:rPr>
      </w:pPr>
    </w:p>
    <w:p w14:paraId="03C1BC36" w14:textId="77777777" w:rsidR="006D7A71" w:rsidRPr="00CA236D" w:rsidRDefault="006D7A71" w:rsidP="00215587">
      <w:pPr>
        <w:pStyle w:val="AEuroAbstract"/>
        <w:spacing w:before="0"/>
        <w:rPr>
          <w:b/>
          <w:spacing w:val="4"/>
        </w:rPr>
      </w:pPr>
      <w:r w:rsidRPr="00CA236D">
        <w:rPr>
          <w:b/>
          <w:spacing w:val="4"/>
        </w:rPr>
        <w:t>ABSTRACT</w:t>
      </w:r>
    </w:p>
    <w:p w14:paraId="3A5E06FC" w14:textId="77777777" w:rsidR="000854CD" w:rsidRDefault="000854CD" w:rsidP="000854CD">
      <w:pPr>
        <w:pStyle w:val="AEuroAbstract"/>
        <w:spacing w:before="0"/>
        <w:rPr>
          <w:spacing w:val="4"/>
          <w:szCs w:val="24"/>
        </w:rPr>
      </w:pPr>
    </w:p>
    <w:p w14:paraId="4EA165CA" w14:textId="77777777" w:rsidR="00C81148" w:rsidRDefault="00FE4480" w:rsidP="0058224B">
      <w:pPr>
        <w:pStyle w:val="AEuroAbstract"/>
        <w:spacing w:before="0"/>
        <w:rPr>
          <w:spacing w:val="4"/>
          <w:szCs w:val="24"/>
        </w:rPr>
      </w:pPr>
      <w:r w:rsidRPr="00FE4480">
        <w:rPr>
          <w:spacing w:val="4"/>
          <w:szCs w:val="24"/>
        </w:rPr>
        <w:t xml:space="preserve">The relationship between foreign investment and economic development is often studied at the macroeconomic level, yet few studies have examined it at the regional level. Using </w:t>
      </w:r>
      <w:r w:rsidR="00E26BB9">
        <w:rPr>
          <w:spacing w:val="4"/>
          <w:szCs w:val="24"/>
        </w:rPr>
        <w:t xml:space="preserve">2013-2022 data of </w:t>
      </w:r>
      <w:r w:rsidRPr="00FE4480">
        <w:rPr>
          <w:spacing w:val="4"/>
          <w:szCs w:val="24"/>
        </w:rPr>
        <w:t xml:space="preserve">all 34 provinces in Indonesia as reference, this study aims to provide insight on how Gross Domestic Regional Production (GDRP) affects foreign </w:t>
      </w:r>
      <w:r w:rsidR="009F70AE">
        <w:rPr>
          <w:spacing w:val="4"/>
          <w:szCs w:val="24"/>
        </w:rPr>
        <w:t>direct investment (FDI)</w:t>
      </w:r>
      <w:r w:rsidRPr="00FE4480">
        <w:rPr>
          <w:spacing w:val="4"/>
          <w:szCs w:val="24"/>
        </w:rPr>
        <w:t xml:space="preserve"> in both the long term and short term</w:t>
      </w:r>
      <w:r w:rsidR="0079102C">
        <w:rPr>
          <w:spacing w:val="4"/>
          <w:szCs w:val="24"/>
        </w:rPr>
        <w:t xml:space="preserve"> at the regional level</w:t>
      </w:r>
      <w:r w:rsidRPr="00FE4480">
        <w:rPr>
          <w:spacing w:val="4"/>
          <w:szCs w:val="24"/>
        </w:rPr>
        <w:t>.</w:t>
      </w:r>
      <w:r w:rsidR="00C81148">
        <w:rPr>
          <w:spacing w:val="4"/>
          <w:szCs w:val="24"/>
        </w:rPr>
        <w:t xml:space="preserve"> Through analysis, this study found that GDRP and FDI has no significant relationship, both on the short-term and on the long-term.</w:t>
      </w:r>
    </w:p>
    <w:p w14:paraId="23070553" w14:textId="77777777" w:rsidR="00C81148" w:rsidRDefault="00C81148" w:rsidP="0058224B">
      <w:pPr>
        <w:pStyle w:val="AEuroAbstract"/>
        <w:spacing w:before="0"/>
        <w:rPr>
          <w:spacing w:val="4"/>
          <w:szCs w:val="24"/>
        </w:rPr>
      </w:pPr>
    </w:p>
    <w:p w14:paraId="5825FEF8" w14:textId="754BD189" w:rsidR="009F70AE" w:rsidRPr="00C81148" w:rsidRDefault="005D68A2" w:rsidP="0058224B">
      <w:pPr>
        <w:pStyle w:val="AEuroAbstract"/>
        <w:spacing w:before="0"/>
        <w:rPr>
          <w:spacing w:val="4"/>
          <w:szCs w:val="24"/>
        </w:rPr>
      </w:pPr>
      <w:r>
        <w:rPr>
          <w:spacing w:val="4"/>
          <w:szCs w:val="24"/>
        </w:rPr>
        <w:t xml:space="preserve">Studies on this topic is typically done on the </w:t>
      </w:r>
      <w:r w:rsidR="00C81148">
        <w:rPr>
          <w:spacing w:val="4"/>
          <w:szCs w:val="24"/>
        </w:rPr>
        <w:t>level</w:t>
      </w:r>
      <w:r>
        <w:rPr>
          <w:spacing w:val="4"/>
          <w:szCs w:val="24"/>
        </w:rPr>
        <w:t xml:space="preserve"> of countries, while t</w:t>
      </w:r>
      <w:r w:rsidR="00616599">
        <w:rPr>
          <w:spacing w:val="4"/>
          <w:szCs w:val="24"/>
        </w:rPr>
        <w:t xml:space="preserve">hrough this study, </w:t>
      </w:r>
      <w:r>
        <w:rPr>
          <w:spacing w:val="4"/>
          <w:szCs w:val="24"/>
        </w:rPr>
        <w:t xml:space="preserve">the relationship is tested in a smaller scale, particularly on a provincial level. </w:t>
      </w:r>
      <w:r w:rsidR="00F17655">
        <w:rPr>
          <w:spacing w:val="4"/>
          <w:szCs w:val="24"/>
        </w:rPr>
        <w:t>Further studies can be done to determine the nature of the relationship in other countries,</w:t>
      </w:r>
      <w:r w:rsidR="00D9750D">
        <w:rPr>
          <w:spacing w:val="4"/>
          <w:szCs w:val="24"/>
        </w:rPr>
        <w:t xml:space="preserve"> while</w:t>
      </w:r>
      <w:r w:rsidR="00F17655">
        <w:rPr>
          <w:spacing w:val="4"/>
          <w:szCs w:val="24"/>
        </w:rPr>
        <w:t xml:space="preserve"> adopting a comparative approach to determine the true nature of the relationship in the regional level.</w:t>
      </w:r>
    </w:p>
    <w:p w14:paraId="41F78006" w14:textId="77777777" w:rsidR="00073894" w:rsidRDefault="00073894" w:rsidP="0058224B">
      <w:pPr>
        <w:pStyle w:val="AEuroAbstract"/>
        <w:spacing w:before="0"/>
        <w:rPr>
          <w:b/>
          <w:spacing w:val="4"/>
        </w:rPr>
      </w:pPr>
    </w:p>
    <w:p w14:paraId="576E2F4D" w14:textId="46563C15" w:rsidR="00B7285C" w:rsidRPr="00B7285C" w:rsidRDefault="00B7285C" w:rsidP="00B7285C">
      <w:pPr>
        <w:pStyle w:val="AEuroNormal"/>
        <w:ind w:firstLine="0"/>
      </w:pPr>
      <w:r w:rsidRPr="00CA236D">
        <w:rPr>
          <w:b/>
        </w:rPr>
        <w:t>Keywords:</w:t>
      </w:r>
      <w:r w:rsidRPr="00CA236D">
        <w:t xml:space="preserve"> </w:t>
      </w:r>
      <w:r>
        <w:t>Causal Relationship,</w:t>
      </w:r>
      <w:r w:rsidR="00C81148">
        <w:t xml:space="preserve"> Dynamic Panel Model,</w:t>
      </w:r>
      <w:r>
        <w:t xml:space="preserve"> Foreign Direct Investment, Gross Domestic Regional Production, Panel Data, Panel Regression.</w:t>
      </w:r>
    </w:p>
    <w:p w14:paraId="3016C7B0" w14:textId="77777777" w:rsidR="00B7285C" w:rsidRDefault="00B7285C" w:rsidP="0058224B">
      <w:pPr>
        <w:pStyle w:val="AEuroAbstract"/>
        <w:spacing w:before="0"/>
        <w:rPr>
          <w:b/>
          <w:spacing w:val="4"/>
        </w:rPr>
      </w:pPr>
    </w:p>
    <w:p w14:paraId="18B9483A" w14:textId="17EDF19C" w:rsidR="00F96DF2" w:rsidRDefault="00F96DF2" w:rsidP="00F96DF2">
      <w:pPr>
        <w:pStyle w:val="AEuroAbstract"/>
        <w:spacing w:before="0"/>
        <w:rPr>
          <w:spacing w:val="4"/>
        </w:rPr>
      </w:pPr>
      <w:r>
        <w:rPr>
          <w:b/>
          <w:spacing w:val="4"/>
        </w:rPr>
        <w:t>Table</w:t>
      </w:r>
      <w:r w:rsidRPr="00B31155">
        <w:rPr>
          <w:b/>
          <w:spacing w:val="4"/>
        </w:rPr>
        <w:t xml:space="preserve"> </w:t>
      </w:r>
      <w:r w:rsidR="00A36521">
        <w:rPr>
          <w:b/>
          <w:spacing w:val="4"/>
        </w:rPr>
        <w:t>1</w:t>
      </w:r>
      <w:r w:rsidRPr="00B31155">
        <w:rPr>
          <w:b/>
          <w:spacing w:val="4"/>
        </w:rPr>
        <w:t>.</w:t>
      </w:r>
      <w:r>
        <w:rPr>
          <w:spacing w:val="4"/>
        </w:rPr>
        <w:t xml:space="preserve"> </w:t>
      </w:r>
      <w:r w:rsidR="00C81148">
        <w:rPr>
          <w:spacing w:val="4"/>
        </w:rPr>
        <w:t>Dynamic System GMM Model</w:t>
      </w:r>
    </w:p>
    <w:p w14:paraId="1714940B" w14:textId="77777777" w:rsidR="00F96DF2" w:rsidRDefault="00F96DF2" w:rsidP="00F96DF2">
      <w:pPr>
        <w:pStyle w:val="AEuroAbstract"/>
        <w:spacing w:before="0"/>
        <w:rPr>
          <w:spacing w:val="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620"/>
        <w:gridCol w:w="1620"/>
      </w:tblGrid>
      <w:tr w:rsidR="00F96DF2" w14:paraId="4AFB81E5" w14:textId="77777777" w:rsidTr="007D2AC2"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801B9A" w14:textId="021FF929" w:rsidR="00F96DF2" w:rsidRDefault="00C81148" w:rsidP="007D2AC2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Variable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F9FDD" w14:textId="60B66D1E" w:rsidR="00F96DF2" w:rsidRDefault="008009EF" w:rsidP="007D2AC2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Coefficient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4AE9D" w14:textId="4BA87B2E" w:rsidR="00F96DF2" w:rsidRDefault="00F17655" w:rsidP="007D2AC2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p-value</w:t>
            </w:r>
          </w:p>
        </w:tc>
      </w:tr>
      <w:tr w:rsidR="00C81148" w14:paraId="0F493CB7" w14:textId="77777777" w:rsidTr="00C76CD7">
        <w:tc>
          <w:tcPr>
            <w:tcW w:w="505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6C2160" w14:textId="7FDABC71" w:rsidR="00C81148" w:rsidRDefault="00C81148" w:rsidP="00C81148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GD</w:t>
            </w:r>
            <w:r w:rsidR="00B5710F">
              <w:rPr>
                <w:spacing w:val="4"/>
              </w:rPr>
              <w:t>R</w:t>
            </w:r>
            <w:r>
              <w:rPr>
                <w:spacing w:val="4"/>
              </w:rPr>
              <w:t>P</w:t>
            </w:r>
            <w:r w:rsidR="00B5710F">
              <w:rPr>
                <w:spacing w:val="4"/>
              </w:rPr>
              <w:t xml:space="preserve"> ← FDI (Robust)</w:t>
            </w:r>
          </w:p>
        </w:tc>
      </w:tr>
      <w:tr w:rsidR="00F96DF2" w14:paraId="4BD64FE8" w14:textId="77777777" w:rsidTr="007D2AC2">
        <w:tc>
          <w:tcPr>
            <w:tcW w:w="18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79F493" w14:textId="093C46E6" w:rsidR="00F96DF2" w:rsidRDefault="00B5710F" w:rsidP="007D2AC2">
            <w:pPr>
              <w:pStyle w:val="AEuroAbstract"/>
              <w:widowControl w:val="0"/>
              <w:spacing w:before="0"/>
              <w:rPr>
                <w:spacing w:val="4"/>
              </w:rPr>
            </w:pPr>
            <w:r>
              <w:rPr>
                <w:spacing w:val="4"/>
              </w:rPr>
              <w:t>Lag(GDRP)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A898E0" w14:textId="4D3041D5" w:rsidR="00F96DF2" w:rsidRDefault="008009EF" w:rsidP="008009EF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1.06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FD8B50" w14:textId="59A13560" w:rsidR="00F96DF2" w:rsidRDefault="00B5710F" w:rsidP="00B5710F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0</w:t>
            </w:r>
          </w:p>
        </w:tc>
      </w:tr>
      <w:tr w:rsidR="00F96DF2" w14:paraId="0CFFF3A4" w14:textId="77777777" w:rsidTr="00C81148">
        <w:tc>
          <w:tcPr>
            <w:tcW w:w="18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C45AEF" w14:textId="1192D7CE" w:rsidR="00F96DF2" w:rsidRDefault="00B5710F" w:rsidP="007D2AC2">
            <w:pPr>
              <w:pStyle w:val="AEuroAbstract"/>
              <w:widowControl w:val="0"/>
              <w:spacing w:before="0"/>
              <w:rPr>
                <w:spacing w:val="4"/>
              </w:rPr>
            </w:pPr>
            <w:r>
              <w:rPr>
                <w:spacing w:val="4"/>
              </w:rPr>
              <w:t>FDI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E172FE" w14:textId="10DFCF31" w:rsidR="00F96DF2" w:rsidRDefault="00F17655" w:rsidP="008009EF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0.</w:t>
            </w:r>
            <w:r w:rsidR="008009EF">
              <w:rPr>
                <w:spacing w:val="4"/>
              </w:rPr>
              <w:t>277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0550F7" w14:textId="3E7421C8" w:rsidR="00F96DF2" w:rsidRDefault="00912DC3" w:rsidP="008009EF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0</w:t>
            </w:r>
            <w:r w:rsidR="008009EF">
              <w:rPr>
                <w:spacing w:val="4"/>
              </w:rPr>
              <w:t>.9784</w:t>
            </w:r>
          </w:p>
        </w:tc>
      </w:tr>
      <w:tr w:rsidR="00C81148" w14:paraId="79FF25DA" w14:textId="77777777" w:rsidTr="00241B3B">
        <w:tc>
          <w:tcPr>
            <w:tcW w:w="50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24FE0" w14:textId="2E322F6A" w:rsidR="00C81148" w:rsidRDefault="00B5710F" w:rsidP="00B5710F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FDI ← GDRP</w:t>
            </w:r>
            <w:r w:rsidR="008009EF">
              <w:rPr>
                <w:spacing w:val="4"/>
              </w:rPr>
              <w:t xml:space="preserve"> (Robust)</w:t>
            </w:r>
          </w:p>
        </w:tc>
      </w:tr>
      <w:tr w:rsidR="00F96DF2" w14:paraId="0D39EA3E" w14:textId="77777777" w:rsidTr="00C81148">
        <w:tc>
          <w:tcPr>
            <w:tcW w:w="18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5C2876" w14:textId="566327C7" w:rsidR="00F96DF2" w:rsidRDefault="00B5710F" w:rsidP="007D2AC2">
            <w:pPr>
              <w:pStyle w:val="AEuroAbstract"/>
              <w:widowControl w:val="0"/>
              <w:spacing w:before="0"/>
              <w:rPr>
                <w:spacing w:val="4"/>
              </w:rPr>
            </w:pPr>
            <w:r>
              <w:rPr>
                <w:spacing w:val="4"/>
              </w:rPr>
              <w:t>Lag(FDI)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8911E9" w14:textId="33CC0B07" w:rsidR="00F96DF2" w:rsidRDefault="00B5710F" w:rsidP="00B5710F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0.931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80BF5B" w14:textId="04908946" w:rsidR="00F96DF2" w:rsidRDefault="00912DC3" w:rsidP="00B5710F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0</w:t>
            </w:r>
          </w:p>
        </w:tc>
      </w:tr>
      <w:tr w:rsidR="00F96DF2" w14:paraId="481DD378" w14:textId="77777777" w:rsidTr="00912DC3">
        <w:tc>
          <w:tcPr>
            <w:tcW w:w="18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BFA62" w14:textId="6878A2FE" w:rsidR="00F96DF2" w:rsidRDefault="00B5710F" w:rsidP="007D2AC2">
            <w:pPr>
              <w:pStyle w:val="AEuroAbstract"/>
              <w:widowControl w:val="0"/>
              <w:spacing w:before="0"/>
              <w:rPr>
                <w:spacing w:val="4"/>
              </w:rPr>
            </w:pPr>
            <w:r>
              <w:rPr>
                <w:spacing w:val="4"/>
              </w:rPr>
              <w:t>GDRP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213B5E" w14:textId="7BA01C25" w:rsidR="00F96DF2" w:rsidRPr="00B5710F" w:rsidRDefault="00B5710F" w:rsidP="007D2AC2">
            <w:pPr>
              <w:pStyle w:val="AEuroAbstract"/>
              <w:widowControl w:val="0"/>
              <w:spacing w:before="0"/>
              <w:rPr>
                <w:spacing w:val="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pacing w:val="4"/>
                  </w:rPr>
                  <m:t>0.111×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pacing w:val="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pacing w:val="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pacing w:val="4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EF8713" w14:textId="7B74B892" w:rsidR="00F96DF2" w:rsidRDefault="00B5710F" w:rsidP="00B5710F">
            <w:pPr>
              <w:pStyle w:val="AEuroAbstract"/>
              <w:widowControl w:val="0"/>
              <w:spacing w:before="0"/>
              <w:jc w:val="center"/>
              <w:rPr>
                <w:spacing w:val="4"/>
              </w:rPr>
            </w:pPr>
            <w:r>
              <w:rPr>
                <w:spacing w:val="4"/>
              </w:rPr>
              <w:t>0.5634</w:t>
            </w:r>
          </w:p>
        </w:tc>
      </w:tr>
    </w:tbl>
    <w:p w14:paraId="0804F748" w14:textId="77777777" w:rsidR="00F96DF2" w:rsidRDefault="00F96DF2" w:rsidP="0058224B">
      <w:pPr>
        <w:pStyle w:val="AEuroAbstract"/>
        <w:spacing w:before="0"/>
        <w:rPr>
          <w:b/>
          <w:spacing w:val="4"/>
        </w:rPr>
      </w:pPr>
    </w:p>
    <w:p w14:paraId="2EDCE53F" w14:textId="77777777" w:rsidR="00A36B95" w:rsidRDefault="00A36B95" w:rsidP="00B31155">
      <w:pPr>
        <w:jc w:val="both"/>
        <w:rPr>
          <w:szCs w:val="24"/>
          <w:lang w:val="en-US"/>
        </w:rPr>
      </w:pPr>
    </w:p>
    <w:p w14:paraId="6B5379B3" w14:textId="77777777" w:rsidR="00A36B95" w:rsidRDefault="00A36B95" w:rsidP="00B31155">
      <w:pPr>
        <w:jc w:val="both"/>
        <w:rPr>
          <w:szCs w:val="24"/>
          <w:lang w:val="en-US"/>
        </w:rPr>
      </w:pPr>
      <w:r w:rsidRPr="00A36B95">
        <w:rPr>
          <w:b/>
          <w:szCs w:val="24"/>
          <w:lang w:val="en-US" w:eastAsia="tr-TR"/>
        </w:rPr>
        <w:t>References</w:t>
      </w:r>
      <w:r>
        <w:rPr>
          <w:szCs w:val="24"/>
          <w:lang w:val="en-US"/>
        </w:rPr>
        <w:t>:</w:t>
      </w:r>
    </w:p>
    <w:p w14:paraId="7C70C3BB" w14:textId="1E0DEE4E" w:rsidR="00A36B95" w:rsidRPr="00367941" w:rsidRDefault="005F0094" w:rsidP="00B31155">
      <w:pPr>
        <w:jc w:val="both"/>
        <w:rPr>
          <w:szCs w:val="24"/>
          <w:lang w:val="en-US"/>
        </w:rPr>
      </w:pPr>
      <w:r w:rsidRPr="00367941">
        <w:rPr>
          <w:szCs w:val="24"/>
          <w:lang w:val="en-US"/>
        </w:rPr>
        <w:t xml:space="preserve">[1] </w:t>
      </w:r>
      <w:r w:rsidR="00912DC3">
        <w:t>Sijabat, R.</w:t>
      </w:r>
      <w:r w:rsidR="00724D5E">
        <w:t>:</w:t>
      </w:r>
      <w:r w:rsidR="00912DC3">
        <w:t xml:space="preserve"> ‘The Association between Foreign Investment and Gross Domestic Product </w:t>
      </w:r>
      <w:r w:rsidR="00912DC3">
        <w:lastRenderedPageBreak/>
        <w:t xml:space="preserve">in Ten ASEAN Countries’, </w:t>
      </w:r>
      <w:r w:rsidR="00912DC3" w:rsidRPr="00912DC3">
        <w:rPr>
          <w:rStyle w:val="Emphasis"/>
          <w:i w:val="0"/>
          <w:iCs w:val="0"/>
        </w:rPr>
        <w:t>Economies</w:t>
      </w:r>
      <w:r w:rsidR="00912DC3">
        <w:t>, 2023, 11, (7), 188</w:t>
      </w:r>
    </w:p>
    <w:p w14:paraId="56512F14" w14:textId="0BE6808A" w:rsidR="008009EF" w:rsidRDefault="005F0094" w:rsidP="008009EF">
      <w:pPr>
        <w:widowControl/>
        <w:suppressAutoHyphens w:val="0"/>
        <w:rPr>
          <w:szCs w:val="24"/>
          <w:lang w:val="en-US" w:eastAsia="en-US"/>
        </w:rPr>
      </w:pPr>
      <w:r w:rsidRPr="00724D5E">
        <w:t xml:space="preserve">[2] </w:t>
      </w:r>
      <w:r w:rsidR="008009EF" w:rsidRPr="008009EF">
        <w:rPr>
          <w:szCs w:val="24"/>
          <w:lang w:val="en-US" w:eastAsia="en-US"/>
        </w:rPr>
        <w:t>Kirikkaleli, D., Sokri, A., Candemir, M.,</w:t>
      </w:r>
      <w:r w:rsidR="008009EF">
        <w:rPr>
          <w:szCs w:val="24"/>
          <w:lang w:val="en-US" w:eastAsia="en-US"/>
        </w:rPr>
        <w:t xml:space="preserve"> </w:t>
      </w:r>
      <w:r w:rsidR="008009EF" w:rsidRPr="008009EF">
        <w:rPr>
          <w:szCs w:val="24"/>
          <w:lang w:val="en-US" w:eastAsia="en-US"/>
        </w:rPr>
        <w:t>Ertugrul, H. M.</w:t>
      </w:r>
      <w:r w:rsidR="008009EF">
        <w:rPr>
          <w:szCs w:val="24"/>
          <w:lang w:val="en-US" w:eastAsia="en-US"/>
        </w:rPr>
        <w:t>: ‘</w:t>
      </w:r>
      <w:r w:rsidR="008009EF" w:rsidRPr="008009EF">
        <w:rPr>
          <w:szCs w:val="24"/>
          <w:lang w:val="en-US" w:eastAsia="en-US"/>
        </w:rPr>
        <w:t>Panel cointegration: Long-run relationship between internet, electricity consumption and economic growth. Evidence from OECD countries</w:t>
      </w:r>
      <w:r w:rsidR="008009EF">
        <w:rPr>
          <w:szCs w:val="24"/>
          <w:lang w:val="en-US" w:eastAsia="en-US"/>
        </w:rPr>
        <w:t>’,</w:t>
      </w:r>
      <w:r w:rsidR="008009EF" w:rsidRPr="008009EF">
        <w:rPr>
          <w:szCs w:val="24"/>
          <w:lang w:val="en-US" w:eastAsia="en-US"/>
        </w:rPr>
        <w:t xml:space="preserve"> Investigación económica,</w:t>
      </w:r>
      <w:r w:rsidR="008009EF">
        <w:rPr>
          <w:szCs w:val="24"/>
          <w:lang w:val="en-US" w:eastAsia="en-US"/>
        </w:rPr>
        <w:t xml:space="preserve"> 2018,</w:t>
      </w:r>
      <w:r w:rsidR="008009EF" w:rsidRPr="008009EF">
        <w:rPr>
          <w:szCs w:val="24"/>
          <w:lang w:val="en-US" w:eastAsia="en-US"/>
        </w:rPr>
        <w:t xml:space="preserve"> </w:t>
      </w:r>
      <w:r w:rsidR="008009EF">
        <w:rPr>
          <w:szCs w:val="24"/>
          <w:lang w:val="en-US" w:eastAsia="en-US"/>
        </w:rPr>
        <w:t xml:space="preserve">77, </w:t>
      </w:r>
      <w:r w:rsidR="008009EF" w:rsidRPr="008009EF">
        <w:rPr>
          <w:szCs w:val="24"/>
          <w:lang w:val="en-US" w:eastAsia="en-US"/>
        </w:rPr>
        <w:t xml:space="preserve">(303), </w:t>
      </w:r>
      <w:r w:rsidR="008009EF">
        <w:rPr>
          <w:szCs w:val="24"/>
          <w:lang w:val="en-US" w:eastAsia="en-US"/>
        </w:rPr>
        <w:t xml:space="preserve">pp. </w:t>
      </w:r>
      <w:r w:rsidR="008009EF" w:rsidRPr="008009EF">
        <w:rPr>
          <w:szCs w:val="24"/>
          <w:lang w:val="en-US" w:eastAsia="en-US"/>
        </w:rPr>
        <w:t>161-176</w:t>
      </w:r>
    </w:p>
    <w:p w14:paraId="6CFFE80B" w14:textId="30EDEA48" w:rsidR="008009EF" w:rsidRDefault="008009EF" w:rsidP="008009EF">
      <w:pPr>
        <w:widowControl/>
        <w:suppressAutoHyphens w:val="0"/>
        <w:rPr>
          <w:szCs w:val="24"/>
          <w:lang w:val="en-US" w:eastAsia="en-US"/>
        </w:rPr>
      </w:pPr>
      <w:r>
        <w:rPr>
          <w:szCs w:val="24"/>
          <w:lang w:val="en-US" w:eastAsia="en-US"/>
        </w:rPr>
        <w:t xml:space="preserve">[3] </w:t>
      </w:r>
      <w:r w:rsidRPr="008009EF">
        <w:rPr>
          <w:szCs w:val="24"/>
          <w:lang w:val="en-US" w:eastAsia="en-US"/>
        </w:rPr>
        <w:t>Blundell, R., &amp; Bond, S.</w:t>
      </w:r>
      <w:r>
        <w:rPr>
          <w:szCs w:val="24"/>
          <w:lang w:val="en-US" w:eastAsia="en-US"/>
        </w:rPr>
        <w:t>: ‘</w:t>
      </w:r>
      <w:r w:rsidRPr="008009EF">
        <w:rPr>
          <w:szCs w:val="24"/>
          <w:lang w:val="en-US" w:eastAsia="en-US"/>
        </w:rPr>
        <w:t>Initial conditions and moment restrictions in dynamic panel data models</w:t>
      </w:r>
      <w:r>
        <w:rPr>
          <w:szCs w:val="24"/>
          <w:lang w:val="en-US" w:eastAsia="en-US"/>
        </w:rPr>
        <w:t xml:space="preserve">’, </w:t>
      </w:r>
      <w:r w:rsidRPr="008009EF">
        <w:rPr>
          <w:szCs w:val="24"/>
          <w:lang w:val="en-US" w:eastAsia="en-US"/>
        </w:rPr>
        <w:t>Journal of econometrics,</w:t>
      </w:r>
      <w:r>
        <w:rPr>
          <w:szCs w:val="24"/>
          <w:lang w:val="en-US" w:eastAsia="en-US"/>
        </w:rPr>
        <w:t xml:space="preserve"> 2018,</w:t>
      </w:r>
      <w:r w:rsidRPr="008009EF">
        <w:rPr>
          <w:szCs w:val="24"/>
          <w:lang w:val="en-US" w:eastAsia="en-US"/>
        </w:rPr>
        <w:t xml:space="preserve"> 87</w:t>
      </w:r>
      <w:r>
        <w:rPr>
          <w:szCs w:val="24"/>
          <w:lang w:val="en-US" w:eastAsia="en-US"/>
        </w:rPr>
        <w:t xml:space="preserve">, </w:t>
      </w:r>
      <w:r w:rsidRPr="008009EF">
        <w:rPr>
          <w:szCs w:val="24"/>
          <w:lang w:val="en-US" w:eastAsia="en-US"/>
        </w:rPr>
        <w:t xml:space="preserve">(1), </w:t>
      </w:r>
      <w:r>
        <w:rPr>
          <w:szCs w:val="24"/>
          <w:lang w:val="en-US" w:eastAsia="en-US"/>
        </w:rPr>
        <w:t xml:space="preserve">pp. </w:t>
      </w:r>
      <w:r w:rsidRPr="008009EF">
        <w:rPr>
          <w:szCs w:val="24"/>
          <w:lang w:val="en-US" w:eastAsia="en-US"/>
        </w:rPr>
        <w:t>115-143</w:t>
      </w:r>
    </w:p>
    <w:p w14:paraId="163C1FBB" w14:textId="504D7809" w:rsidR="00D659BF" w:rsidRPr="008009EF" w:rsidRDefault="00D659BF" w:rsidP="008009EF">
      <w:pPr>
        <w:widowControl/>
        <w:suppressAutoHyphens w:val="0"/>
        <w:rPr>
          <w:szCs w:val="24"/>
          <w:lang w:val="en-US" w:eastAsia="en-US"/>
        </w:rPr>
      </w:pPr>
      <w:r>
        <w:rPr>
          <w:szCs w:val="24"/>
          <w:lang w:val="en-US" w:eastAsia="en-US"/>
        </w:rPr>
        <w:t xml:space="preserve">[4] </w:t>
      </w:r>
      <w:r w:rsidRPr="00D659BF">
        <w:rPr>
          <w:szCs w:val="24"/>
          <w:lang w:val="en-US" w:eastAsia="en-US"/>
        </w:rPr>
        <w:t>Hsiao, C.</w:t>
      </w:r>
      <w:r>
        <w:rPr>
          <w:szCs w:val="24"/>
          <w:lang w:val="en-US" w:eastAsia="en-US"/>
        </w:rPr>
        <w:t>: ‘Analysis of Panel Data’,</w:t>
      </w:r>
      <w:r w:rsidRPr="00D659BF">
        <w:rPr>
          <w:szCs w:val="24"/>
          <w:lang w:val="en-US" w:eastAsia="en-US"/>
        </w:rPr>
        <w:t xml:space="preserve"> </w:t>
      </w:r>
      <w:r>
        <w:rPr>
          <w:szCs w:val="24"/>
          <w:lang w:val="en-US" w:eastAsia="en-US"/>
        </w:rPr>
        <w:t>(</w:t>
      </w:r>
      <w:r w:rsidRPr="00D659BF">
        <w:rPr>
          <w:szCs w:val="24"/>
          <w:lang w:val="en-US" w:eastAsia="en-US"/>
        </w:rPr>
        <w:t>Cambridge university press</w:t>
      </w:r>
      <w:r>
        <w:rPr>
          <w:szCs w:val="24"/>
          <w:lang w:val="en-US" w:eastAsia="en-US"/>
        </w:rPr>
        <w:t>, 2022, 4th ed.)</w:t>
      </w:r>
    </w:p>
    <w:p w14:paraId="6FBD6554" w14:textId="7BCFCBEA" w:rsidR="00724D5E" w:rsidRDefault="00060D4D" w:rsidP="00724D5E">
      <w:pPr>
        <w:pStyle w:val="IETReferences"/>
        <w:rPr>
          <w:color w:val="000000"/>
          <w:sz w:val="24"/>
          <w:szCs w:val="28"/>
        </w:rPr>
      </w:pPr>
      <w:r>
        <w:rPr>
          <w:sz w:val="24"/>
          <w:lang w:val="en-US"/>
        </w:rPr>
        <w:t xml:space="preserve">[5] </w:t>
      </w:r>
      <w:r w:rsidRPr="00060D4D">
        <w:rPr>
          <w:color w:val="000000"/>
          <w:sz w:val="24"/>
          <w:szCs w:val="28"/>
        </w:rPr>
        <w:t>Greene, W. H.</w:t>
      </w:r>
      <w:r>
        <w:rPr>
          <w:color w:val="000000"/>
          <w:sz w:val="24"/>
          <w:szCs w:val="28"/>
        </w:rPr>
        <w:t>: ‘</w:t>
      </w:r>
      <w:r w:rsidRPr="00060D4D">
        <w:rPr>
          <w:color w:val="000000"/>
          <w:sz w:val="24"/>
          <w:szCs w:val="28"/>
        </w:rPr>
        <w:t>Econometric analysis 4th edition. International edition</w:t>
      </w:r>
      <w:r>
        <w:rPr>
          <w:color w:val="000000"/>
          <w:sz w:val="24"/>
          <w:szCs w:val="28"/>
        </w:rPr>
        <w:t>’</w:t>
      </w:r>
      <w:r w:rsidRPr="00060D4D">
        <w:rPr>
          <w:color w:val="000000"/>
          <w:sz w:val="24"/>
          <w:szCs w:val="28"/>
        </w:rPr>
        <w:t xml:space="preserve">, </w:t>
      </w:r>
      <w:r>
        <w:rPr>
          <w:color w:val="000000"/>
          <w:sz w:val="24"/>
          <w:szCs w:val="28"/>
        </w:rPr>
        <w:t>(</w:t>
      </w:r>
      <w:r w:rsidRPr="00060D4D">
        <w:rPr>
          <w:color w:val="000000"/>
          <w:sz w:val="24"/>
          <w:szCs w:val="28"/>
        </w:rPr>
        <w:t>New Jersey: Prentice Hall</w:t>
      </w:r>
      <w:r>
        <w:rPr>
          <w:color w:val="000000"/>
          <w:sz w:val="24"/>
          <w:szCs w:val="28"/>
        </w:rPr>
        <w:t>, 2003, 4th ed.)</w:t>
      </w:r>
    </w:p>
    <w:p w14:paraId="2F53592E" w14:textId="331C97C0" w:rsidR="00060D4D" w:rsidRPr="00724D5E" w:rsidRDefault="00060D4D" w:rsidP="00724D5E">
      <w:pPr>
        <w:pStyle w:val="IETReferences"/>
        <w:rPr>
          <w:sz w:val="24"/>
          <w:lang w:val="en-US"/>
        </w:rPr>
      </w:pPr>
      <w:r>
        <w:rPr>
          <w:color w:val="000000"/>
          <w:sz w:val="24"/>
          <w:szCs w:val="28"/>
        </w:rPr>
        <w:t xml:space="preserve">[6] </w:t>
      </w:r>
      <w:r w:rsidRPr="002D589D">
        <w:rPr>
          <w:sz w:val="24"/>
          <w:szCs w:val="28"/>
        </w:rPr>
        <w:t>Encinas-Ferrer, C., Villegas-Zermeño, E.</w:t>
      </w:r>
      <w:r w:rsidR="002D589D" w:rsidRPr="002D589D">
        <w:rPr>
          <w:sz w:val="24"/>
          <w:szCs w:val="28"/>
        </w:rPr>
        <w:t>:</w:t>
      </w:r>
      <w:r w:rsidRPr="002D589D">
        <w:rPr>
          <w:sz w:val="24"/>
          <w:szCs w:val="28"/>
        </w:rPr>
        <w:t xml:space="preserve"> </w:t>
      </w:r>
      <w:r w:rsidR="002D589D" w:rsidRPr="002D589D">
        <w:rPr>
          <w:sz w:val="24"/>
          <w:szCs w:val="28"/>
        </w:rPr>
        <w:t>‘</w:t>
      </w:r>
      <w:r w:rsidRPr="002D589D">
        <w:rPr>
          <w:sz w:val="24"/>
          <w:szCs w:val="28"/>
        </w:rPr>
        <w:t>Foreign direct investment and gross domestic product growth</w:t>
      </w:r>
      <w:r w:rsidR="002D589D" w:rsidRPr="002D589D">
        <w:rPr>
          <w:sz w:val="24"/>
          <w:szCs w:val="28"/>
        </w:rPr>
        <w:t>’,</w:t>
      </w:r>
      <w:r w:rsidRPr="002D589D">
        <w:rPr>
          <w:sz w:val="24"/>
          <w:szCs w:val="28"/>
        </w:rPr>
        <w:t xml:space="preserve"> Procedia Economics and Finance, </w:t>
      </w:r>
      <w:r w:rsidR="002D589D" w:rsidRPr="002D589D">
        <w:rPr>
          <w:sz w:val="24"/>
          <w:szCs w:val="28"/>
        </w:rPr>
        <w:t xml:space="preserve">2012, </w:t>
      </w:r>
      <w:r w:rsidRPr="002D589D">
        <w:rPr>
          <w:sz w:val="24"/>
          <w:szCs w:val="28"/>
        </w:rPr>
        <w:t xml:space="preserve">24, </w:t>
      </w:r>
      <w:r w:rsidR="002D589D">
        <w:rPr>
          <w:sz w:val="24"/>
          <w:szCs w:val="28"/>
        </w:rPr>
        <w:t xml:space="preserve">pp. </w:t>
      </w:r>
      <w:r w:rsidRPr="002D589D">
        <w:rPr>
          <w:sz w:val="24"/>
          <w:szCs w:val="28"/>
        </w:rPr>
        <w:t>198-207</w:t>
      </w:r>
    </w:p>
    <w:sectPr w:rsidR="00060D4D" w:rsidRPr="00724D5E" w:rsidSect="0080582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418" w:bottom="1701" w:left="1701" w:header="1440" w:footer="14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46AE0" w14:textId="77777777" w:rsidR="002F691C" w:rsidRDefault="002F691C" w:rsidP="00C51B4A">
      <w:r>
        <w:separator/>
      </w:r>
    </w:p>
  </w:endnote>
  <w:endnote w:type="continuationSeparator" w:id="0">
    <w:p w14:paraId="6A5BFE3B" w14:textId="77777777" w:rsidR="002F691C" w:rsidRDefault="002F691C" w:rsidP="00C5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760E7" w14:textId="77777777" w:rsidR="000D54F5" w:rsidRDefault="000D54F5" w:rsidP="00C51B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AD6492" w14:textId="77777777" w:rsidR="000D54F5" w:rsidRDefault="000D54F5" w:rsidP="000D54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6980" w14:textId="77777777" w:rsidR="000D54F5" w:rsidRDefault="000D54F5" w:rsidP="00C51B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3CBF">
      <w:rPr>
        <w:rStyle w:val="PageNumber"/>
        <w:noProof/>
      </w:rPr>
      <w:t>1</w:t>
    </w:r>
    <w:r>
      <w:rPr>
        <w:rStyle w:val="PageNumber"/>
      </w:rPr>
      <w:fldChar w:fldCharType="end"/>
    </w:r>
  </w:p>
  <w:p w14:paraId="7EFF150F" w14:textId="77777777" w:rsidR="006D7A71" w:rsidRPr="000D54F5" w:rsidRDefault="006D7A71" w:rsidP="000D54F5">
    <w:pPr>
      <w:pStyle w:val="Footer"/>
      <w:ind w:right="360"/>
      <w:jc w:val="left"/>
      <w:rPr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93F3" w14:textId="77777777" w:rsidR="0058224B" w:rsidRDefault="00582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9F2CE" w14:textId="77777777" w:rsidR="002F691C" w:rsidRDefault="002F691C" w:rsidP="00C51B4A">
      <w:r>
        <w:separator/>
      </w:r>
    </w:p>
  </w:footnote>
  <w:footnote w:type="continuationSeparator" w:id="0">
    <w:p w14:paraId="1AD8469E" w14:textId="77777777" w:rsidR="002F691C" w:rsidRDefault="002F691C" w:rsidP="00C51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3E69" w14:textId="77777777" w:rsidR="0058224B" w:rsidRDefault="005822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CFE0" w14:textId="77777777" w:rsidR="0058224B" w:rsidRDefault="005822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5CC1" w14:textId="77777777" w:rsidR="0058224B" w:rsidRDefault="00582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AEuroSubSection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pStyle w:val="Reference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B3255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50748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C471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22299890">
    <w:abstractNumId w:val="0"/>
  </w:num>
  <w:num w:numId="2" w16cid:durableId="576937817">
    <w:abstractNumId w:val="1"/>
  </w:num>
  <w:num w:numId="3" w16cid:durableId="908543214">
    <w:abstractNumId w:val="3"/>
  </w:num>
  <w:num w:numId="4" w16cid:durableId="424111868">
    <w:abstractNumId w:val="4"/>
  </w:num>
  <w:num w:numId="5" w16cid:durableId="219637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E8"/>
    <w:rsid w:val="00015603"/>
    <w:rsid w:val="00040BAE"/>
    <w:rsid w:val="00060D4D"/>
    <w:rsid w:val="00063FBD"/>
    <w:rsid w:val="00072B79"/>
    <w:rsid w:val="00073894"/>
    <w:rsid w:val="000762B1"/>
    <w:rsid w:val="000854CD"/>
    <w:rsid w:val="000A3654"/>
    <w:rsid w:val="000B4CB6"/>
    <w:rsid w:val="000B6E64"/>
    <w:rsid w:val="000D54F5"/>
    <w:rsid w:val="000D7E76"/>
    <w:rsid w:val="000F586A"/>
    <w:rsid w:val="0014475F"/>
    <w:rsid w:val="00164134"/>
    <w:rsid w:val="00171152"/>
    <w:rsid w:val="001A0042"/>
    <w:rsid w:val="001B47CF"/>
    <w:rsid w:val="001C3CBF"/>
    <w:rsid w:val="001F6CFF"/>
    <w:rsid w:val="00215587"/>
    <w:rsid w:val="00243BE8"/>
    <w:rsid w:val="00246433"/>
    <w:rsid w:val="00250A47"/>
    <w:rsid w:val="00271EDB"/>
    <w:rsid w:val="00274439"/>
    <w:rsid w:val="002A2D76"/>
    <w:rsid w:val="002B0E79"/>
    <w:rsid w:val="002D589D"/>
    <w:rsid w:val="002F691C"/>
    <w:rsid w:val="00340D4C"/>
    <w:rsid w:val="003629C2"/>
    <w:rsid w:val="00367941"/>
    <w:rsid w:val="003704D9"/>
    <w:rsid w:val="003762E1"/>
    <w:rsid w:val="00387A19"/>
    <w:rsid w:val="003F09CC"/>
    <w:rsid w:val="003F559A"/>
    <w:rsid w:val="004336F8"/>
    <w:rsid w:val="00504618"/>
    <w:rsid w:val="00562F4D"/>
    <w:rsid w:val="0058224B"/>
    <w:rsid w:val="00594212"/>
    <w:rsid w:val="005B52C0"/>
    <w:rsid w:val="005B5DF8"/>
    <w:rsid w:val="005C7E72"/>
    <w:rsid w:val="005D68A2"/>
    <w:rsid w:val="005F0094"/>
    <w:rsid w:val="005F3195"/>
    <w:rsid w:val="00616599"/>
    <w:rsid w:val="00621AE7"/>
    <w:rsid w:val="00673201"/>
    <w:rsid w:val="0068081C"/>
    <w:rsid w:val="006B432D"/>
    <w:rsid w:val="006D7A71"/>
    <w:rsid w:val="006E6B02"/>
    <w:rsid w:val="00704419"/>
    <w:rsid w:val="00706E9B"/>
    <w:rsid w:val="00724D5E"/>
    <w:rsid w:val="007544FB"/>
    <w:rsid w:val="0079102C"/>
    <w:rsid w:val="007923AB"/>
    <w:rsid w:val="007A3574"/>
    <w:rsid w:val="007B0274"/>
    <w:rsid w:val="007D3694"/>
    <w:rsid w:val="007D48A3"/>
    <w:rsid w:val="008009EF"/>
    <w:rsid w:val="00801C22"/>
    <w:rsid w:val="0080582A"/>
    <w:rsid w:val="008115E3"/>
    <w:rsid w:val="0081579B"/>
    <w:rsid w:val="00824A7E"/>
    <w:rsid w:val="008C110F"/>
    <w:rsid w:val="008C1FCC"/>
    <w:rsid w:val="008C4BAE"/>
    <w:rsid w:val="008D32DC"/>
    <w:rsid w:val="008D70A6"/>
    <w:rsid w:val="008F67E1"/>
    <w:rsid w:val="00912DC3"/>
    <w:rsid w:val="00917823"/>
    <w:rsid w:val="00973C2A"/>
    <w:rsid w:val="009B0D94"/>
    <w:rsid w:val="009F2485"/>
    <w:rsid w:val="009F70AE"/>
    <w:rsid w:val="00A019B1"/>
    <w:rsid w:val="00A16C39"/>
    <w:rsid w:val="00A21D98"/>
    <w:rsid w:val="00A36521"/>
    <w:rsid w:val="00A36B95"/>
    <w:rsid w:val="00A75AC2"/>
    <w:rsid w:val="00AA594E"/>
    <w:rsid w:val="00B31155"/>
    <w:rsid w:val="00B5710F"/>
    <w:rsid w:val="00B65B40"/>
    <w:rsid w:val="00B7285C"/>
    <w:rsid w:val="00BC01EC"/>
    <w:rsid w:val="00BF3BA7"/>
    <w:rsid w:val="00C069E3"/>
    <w:rsid w:val="00C3576A"/>
    <w:rsid w:val="00C406B2"/>
    <w:rsid w:val="00C47FA2"/>
    <w:rsid w:val="00C51B4A"/>
    <w:rsid w:val="00C81148"/>
    <w:rsid w:val="00C90590"/>
    <w:rsid w:val="00C91371"/>
    <w:rsid w:val="00CA21EC"/>
    <w:rsid w:val="00CA236D"/>
    <w:rsid w:val="00CB0FC8"/>
    <w:rsid w:val="00CB5BF7"/>
    <w:rsid w:val="00CB7D7A"/>
    <w:rsid w:val="00CC340C"/>
    <w:rsid w:val="00CD10CA"/>
    <w:rsid w:val="00CE0B6F"/>
    <w:rsid w:val="00CF639B"/>
    <w:rsid w:val="00CF714D"/>
    <w:rsid w:val="00D659BF"/>
    <w:rsid w:val="00D8485B"/>
    <w:rsid w:val="00D9750D"/>
    <w:rsid w:val="00DC3B37"/>
    <w:rsid w:val="00DE16E1"/>
    <w:rsid w:val="00DF0904"/>
    <w:rsid w:val="00DF1EE0"/>
    <w:rsid w:val="00DF67BA"/>
    <w:rsid w:val="00DF6F2F"/>
    <w:rsid w:val="00E13129"/>
    <w:rsid w:val="00E2089F"/>
    <w:rsid w:val="00E26BB9"/>
    <w:rsid w:val="00E6573F"/>
    <w:rsid w:val="00E83B76"/>
    <w:rsid w:val="00E8655A"/>
    <w:rsid w:val="00EA37E6"/>
    <w:rsid w:val="00F17655"/>
    <w:rsid w:val="00F264DF"/>
    <w:rsid w:val="00F40EFD"/>
    <w:rsid w:val="00F447E7"/>
    <w:rsid w:val="00F574B2"/>
    <w:rsid w:val="00F90945"/>
    <w:rsid w:val="00F96DF2"/>
    <w:rsid w:val="00FA0A83"/>
    <w:rsid w:val="00FA3A8E"/>
    <w:rsid w:val="00FA50B6"/>
    <w:rsid w:val="00FB2A84"/>
    <w:rsid w:val="00FB3ADE"/>
    <w:rsid w:val="00FC753C"/>
    <w:rsid w:val="00FE4480"/>
    <w:rsid w:val="00F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930140B"/>
  <w15:chartTrackingRefBased/>
  <w15:docId w15:val="{EDB31F4C-CEC7-4384-9DE0-0606CBAA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0042"/>
    <w:pPr>
      <w:widowControl w:val="0"/>
      <w:suppressAutoHyphens/>
    </w:pPr>
    <w:rPr>
      <w:sz w:val="24"/>
      <w:lang w:val="es-ES_tradnl" w:eastAsia="ar-SA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</w:tabs>
      <w:spacing w:after="180" w:line="280" w:lineRule="exact"/>
      <w:outlineLvl w:val="0"/>
    </w:pPr>
    <w:rPr>
      <w:b/>
      <w:kern w:val="1"/>
      <w:sz w:val="28"/>
      <w:lang w:val="en-GB"/>
    </w:rPr>
  </w:style>
  <w:style w:type="paragraph" w:styleId="Heading2">
    <w:name w:val="heading 2"/>
    <w:basedOn w:val="Normal"/>
    <w:next w:val="Normal"/>
    <w:qFormat/>
    <w:pPr>
      <w:keepNext/>
      <w:widowControl/>
      <w:spacing w:after="180" w:line="240" w:lineRule="exact"/>
      <w:outlineLvl w:val="1"/>
    </w:pPr>
    <w:rPr>
      <w:b/>
      <w:kern w:val="1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  <w:sz w:val="24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Arial" w:eastAsia="Times New Roman" w:hAnsi="Arial" w:cs="Arial"/>
      <w:sz w:val="24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  <w:sz w:val="24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  <w:sz w:val="24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Arial" w:eastAsia="Times New Roman" w:hAnsi="Arial" w:cs="Arial"/>
      <w:sz w:val="24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Arial" w:eastAsia="Times New Roman" w:hAnsi="Arial" w:cs="Arial"/>
      <w:sz w:val="24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styleId="FollowedHyperlink">
    <w:name w:val="FollowedHyperlink"/>
    <w:rPr>
      <w:rFonts w:ascii="Times New Roman" w:hAnsi="Times New Roman"/>
      <w:color w:val="000000"/>
      <w:sz w:val="24"/>
      <w:u w:val="none"/>
      <w:lang w:val="en-US"/>
    </w:rPr>
  </w:style>
  <w:style w:type="character" w:customStyle="1" w:styleId="FootnoteCharacters">
    <w:name w:val="Footnote Characters"/>
    <w:rPr>
      <w:vertAlign w:val="superscript"/>
      <w:lang w:val="es-ES_tradnl"/>
    </w:rPr>
  </w:style>
  <w:style w:type="character" w:customStyle="1" w:styleId="EndnoteCharacters">
    <w:name w:val="Endnote Characters"/>
    <w:rPr>
      <w:vertAlign w:val="superscript"/>
      <w:lang w:val="es-ES_tradnl"/>
    </w:rPr>
  </w:style>
  <w:style w:type="character" w:styleId="Hyperlink">
    <w:name w:val="Hyperlink"/>
    <w:rPr>
      <w:rFonts w:ascii="Times New Roman" w:hAnsi="Times New Roman"/>
      <w:strike w:val="0"/>
      <w:dstrike w:val="0"/>
      <w:color w:val="000000"/>
      <w:position w:val="0"/>
      <w:sz w:val="24"/>
      <w:u w:val="none"/>
      <w:vertAlign w:val="baseline"/>
      <w:lang w:val="en-US"/>
    </w:rPr>
  </w:style>
  <w:style w:type="character" w:styleId="PageNumber">
    <w:name w:val="page number"/>
    <w:basedOn w:val="DefaultParagraphFont"/>
  </w:style>
  <w:style w:type="character" w:customStyle="1" w:styleId="FootnoteTextChar">
    <w:name w:val="Footnote Text Char"/>
    <w:rPr>
      <w:lang w:val="es-ES_tradnl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jc w:val="center"/>
    </w:pPr>
  </w:style>
  <w:style w:type="paragraph" w:customStyle="1" w:styleId="AEuroNormal">
    <w:name w:val="AEuro.Normal"/>
    <w:pPr>
      <w:suppressAutoHyphens/>
      <w:ind w:firstLine="284"/>
      <w:jc w:val="both"/>
    </w:pPr>
    <w:rPr>
      <w:rFonts w:eastAsia="Arial"/>
      <w:sz w:val="24"/>
      <w:lang w:eastAsia="ar-SA"/>
    </w:rPr>
  </w:style>
  <w:style w:type="paragraph" w:customStyle="1" w:styleId="AEuroSection">
    <w:name w:val="AEuro.Section"/>
    <w:basedOn w:val="AEuroNormal"/>
    <w:pPr>
      <w:keepNext/>
      <w:keepLines/>
      <w:tabs>
        <w:tab w:val="left" w:pos="-1701"/>
        <w:tab w:val="left" w:pos="360"/>
      </w:tabs>
      <w:spacing w:before="240" w:after="120"/>
      <w:ind w:firstLine="0"/>
      <w:jc w:val="left"/>
    </w:pPr>
    <w:rPr>
      <w:b/>
      <w:caps/>
      <w:spacing w:val="4"/>
    </w:rPr>
  </w:style>
  <w:style w:type="paragraph" w:customStyle="1" w:styleId="AEuroReferenceSectionTitle">
    <w:name w:val="AEuro.ReferenceSectionTitle"/>
    <w:basedOn w:val="AEuroSection"/>
    <w:pPr>
      <w:tabs>
        <w:tab w:val="clear" w:pos="36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customStyle="1" w:styleId="AEuroSubSection">
    <w:name w:val="AEuro.SubSection"/>
    <w:basedOn w:val="AEuroNormal"/>
    <w:pPr>
      <w:keepNext/>
      <w:keepLines/>
      <w:numPr>
        <w:numId w:val="1"/>
      </w:numPr>
      <w:tabs>
        <w:tab w:val="left" w:pos="720"/>
      </w:tabs>
      <w:spacing w:before="240" w:after="120"/>
      <w:jc w:val="left"/>
      <w:outlineLvl w:val="0"/>
    </w:pPr>
    <w:rPr>
      <w:b/>
      <w:spacing w:val="4"/>
    </w:rPr>
  </w:style>
  <w:style w:type="paragraph" w:customStyle="1" w:styleId="AEuroTitle">
    <w:name w:val="AEuro.Title"/>
    <w:basedOn w:val="AEuroNormal"/>
    <w:pPr>
      <w:spacing w:after="240"/>
      <w:ind w:firstLine="0"/>
      <w:jc w:val="center"/>
    </w:pPr>
    <w:rPr>
      <w:b/>
      <w:caps/>
      <w:sz w:val="28"/>
    </w:rPr>
  </w:style>
  <w:style w:type="paragraph" w:customStyle="1" w:styleId="AEuroAfiliation">
    <w:name w:val="AEuro.Afiliation"/>
    <w:basedOn w:val="AEuroNormal"/>
    <w:pPr>
      <w:tabs>
        <w:tab w:val="left" w:pos="142"/>
      </w:tabs>
      <w:ind w:firstLine="0"/>
      <w:jc w:val="center"/>
    </w:pPr>
    <w:rPr>
      <w:sz w:val="22"/>
    </w:rPr>
  </w:style>
  <w:style w:type="paragraph" w:customStyle="1" w:styleId="AEuroAbstract">
    <w:name w:val="AEuro.Abstract"/>
    <w:basedOn w:val="AEuroNormal"/>
    <w:pPr>
      <w:spacing w:before="240"/>
      <w:ind w:firstLine="0"/>
    </w:pPr>
  </w:style>
  <w:style w:type="paragraph" w:customStyle="1" w:styleId="AEuroHeader1">
    <w:name w:val="AEuro.Header 1"/>
    <w:pPr>
      <w:widowControl w:val="0"/>
      <w:suppressAutoHyphens/>
      <w:jc w:val="right"/>
    </w:pPr>
    <w:rPr>
      <w:rFonts w:eastAsia="Arial"/>
      <w:sz w:val="16"/>
      <w:lang w:eastAsia="ar-SA"/>
    </w:rPr>
  </w:style>
  <w:style w:type="paragraph" w:customStyle="1" w:styleId="AEuroHeader2">
    <w:name w:val="AEuro.Header 2"/>
    <w:basedOn w:val="AEuroHeader1"/>
    <w:pPr>
      <w:pBdr>
        <w:bottom w:val="single" w:sz="4" w:space="1" w:color="000000"/>
      </w:pBdr>
      <w:ind w:right="-1"/>
      <w:jc w:val="center"/>
    </w:pPr>
    <w:rPr>
      <w:sz w:val="20"/>
    </w:rPr>
  </w:style>
  <w:style w:type="paragraph" w:customStyle="1" w:styleId="AEuroPageNumber">
    <w:name w:val="AEuro.PageNumber"/>
    <w:basedOn w:val="AEuroNormal"/>
    <w:pPr>
      <w:jc w:val="center"/>
    </w:pPr>
  </w:style>
  <w:style w:type="paragraph" w:customStyle="1" w:styleId="AEuroReference">
    <w:name w:val="AEuro.Reference"/>
    <w:basedOn w:val="AEuroNormal"/>
    <w:pPr>
      <w:tabs>
        <w:tab w:val="left" w:pos="426"/>
      </w:tabs>
      <w:ind w:left="425" w:hanging="425"/>
    </w:pPr>
  </w:style>
  <w:style w:type="paragraph" w:customStyle="1" w:styleId="AEuroEquation">
    <w:name w:val="AEuro.Equation"/>
    <w:basedOn w:val="AEuroNormal"/>
    <w:pPr>
      <w:tabs>
        <w:tab w:val="center" w:pos="4536"/>
        <w:tab w:val="right" w:pos="9072"/>
      </w:tabs>
      <w:spacing w:before="120" w:after="120"/>
      <w:ind w:firstLine="0"/>
      <w:jc w:val="left"/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AEuroAuthors">
    <w:name w:val="AEuro.Authors"/>
    <w:basedOn w:val="AEuroNormal"/>
    <w:pPr>
      <w:spacing w:after="240"/>
      <w:ind w:firstLine="0"/>
      <w:jc w:val="center"/>
    </w:pPr>
    <w:rPr>
      <w:b/>
    </w:rPr>
  </w:style>
  <w:style w:type="paragraph" w:customStyle="1" w:styleId="PaperTitleWCCM">
    <w:name w:val="Paper Title WCCM"/>
    <w:basedOn w:val="Normal"/>
    <w:pPr>
      <w:widowControl/>
      <w:spacing w:after="240"/>
      <w:jc w:val="both"/>
    </w:pPr>
    <w:rPr>
      <w:b/>
      <w:caps/>
      <w:sz w:val="28"/>
      <w:lang w:val="en-US"/>
    </w:rPr>
  </w:style>
  <w:style w:type="paragraph" w:customStyle="1" w:styleId="AEuroCaptionTableandFigure">
    <w:name w:val="AEuro.CaptionTable and Figure"/>
    <w:basedOn w:val="AEuroNormal"/>
    <w:pPr>
      <w:spacing w:before="120" w:after="240"/>
      <w:jc w:val="center"/>
    </w:pPr>
    <w:rPr>
      <w:sz w:val="20"/>
    </w:rPr>
  </w:style>
  <w:style w:type="paragraph" w:styleId="BodyText3">
    <w:name w:val="Body Text 3"/>
    <w:basedOn w:val="Normal"/>
    <w:pPr>
      <w:widowControl/>
      <w:overflowPunct w:val="0"/>
      <w:autoSpaceDE w:val="0"/>
      <w:jc w:val="center"/>
      <w:textAlignment w:val="baseline"/>
    </w:pPr>
    <w:rPr>
      <w:rFonts w:ascii="Arial" w:hAnsi="Arial"/>
      <w:sz w:val="16"/>
      <w:lang w:val="en-GB"/>
    </w:rPr>
  </w:style>
  <w:style w:type="paragraph" w:styleId="EndnoteText">
    <w:name w:val="endnote text"/>
    <w:basedOn w:val="Normal"/>
    <w:pPr>
      <w:widowControl/>
    </w:pPr>
    <w:rPr>
      <w:sz w:val="20"/>
      <w:lang w:val="es-ES"/>
    </w:rPr>
  </w:style>
  <w:style w:type="paragraph" w:styleId="BodyText2">
    <w:name w:val="Body Text 2"/>
    <w:basedOn w:val="Normal"/>
    <w:pPr>
      <w:widowControl/>
    </w:pPr>
    <w:rPr>
      <w:lang w:val="es-ES"/>
    </w:rPr>
  </w:style>
  <w:style w:type="paragraph" w:styleId="BodyTextIndent3">
    <w:name w:val="Body Text Indent 3"/>
    <w:basedOn w:val="Normal"/>
    <w:pPr>
      <w:widowControl/>
      <w:ind w:firstLine="709"/>
    </w:pPr>
    <w:rPr>
      <w:b/>
      <w:u w:val="single"/>
      <w:lang w:val="es-ES"/>
    </w:rPr>
  </w:style>
  <w:style w:type="paragraph" w:styleId="BodyTextIndent2">
    <w:name w:val="Body Text Indent 2"/>
    <w:basedOn w:val="Normal"/>
    <w:pPr>
      <w:widowControl/>
      <w:ind w:firstLine="709"/>
    </w:pPr>
    <w:rPr>
      <w:lang w:val="es-ES"/>
    </w:rPr>
  </w:style>
  <w:style w:type="paragraph" w:styleId="FootnoteText">
    <w:name w:val="footnote text"/>
    <w:basedOn w:val="Normal"/>
    <w:rPr>
      <w:sz w:val="20"/>
    </w:rPr>
  </w:style>
  <w:style w:type="paragraph" w:customStyle="1" w:styleId="Framecontents">
    <w:name w:val="Frame contents"/>
    <w:basedOn w:val="BodyText"/>
  </w:style>
  <w:style w:type="paragraph" w:customStyle="1" w:styleId="Reference">
    <w:name w:val="Reference"/>
    <w:basedOn w:val="Normal"/>
    <w:pPr>
      <w:numPr>
        <w:numId w:val="2"/>
      </w:numPr>
      <w:spacing w:after="240"/>
    </w:pPr>
  </w:style>
  <w:style w:type="paragraph" w:customStyle="1" w:styleId="HeaderAbs">
    <w:name w:val="Header (Abs."/>
    <w:basedOn w:val="Heading1"/>
    <w:rPr>
      <w:lang w:val="en-US"/>
    </w:rPr>
  </w:style>
  <w:style w:type="paragraph" w:customStyle="1" w:styleId="AuthorAffilliation">
    <w:name w:val="Author Affilliation"/>
    <w:pPr>
      <w:suppressAutoHyphens/>
      <w:jc w:val="center"/>
    </w:pPr>
    <w:rPr>
      <w:rFonts w:eastAsia="Arial"/>
      <w:sz w:val="24"/>
      <w:lang w:eastAsia="ar-SA"/>
    </w:rPr>
  </w:style>
  <w:style w:type="paragraph" w:customStyle="1" w:styleId="Titleofthepaper">
    <w:name w:val="Title of the paper"/>
    <w:pPr>
      <w:suppressAutoHyphens/>
      <w:jc w:val="center"/>
    </w:pPr>
    <w:rPr>
      <w:rFonts w:ascii="Arial" w:eastAsia="Arial" w:hAnsi="Arial"/>
      <w:b/>
      <w:sz w:val="28"/>
      <w:lang w:eastAsia="ar-SA"/>
    </w:rPr>
  </w:style>
  <w:style w:type="paragraph" w:customStyle="1" w:styleId="Authorname">
    <w:name w:val="Author name"/>
    <w:pPr>
      <w:suppressAutoHyphens/>
      <w:spacing w:before="240"/>
      <w:jc w:val="center"/>
    </w:pPr>
    <w:rPr>
      <w:rFonts w:eastAsia="Arial"/>
      <w:b/>
      <w:sz w:val="24"/>
      <w:lang w:eastAsia="ar-SA"/>
    </w:rPr>
  </w:style>
  <w:style w:type="table" w:styleId="TableGrid">
    <w:name w:val="Table Grid"/>
    <w:basedOn w:val="TableNormal"/>
    <w:rsid w:val="008D32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TReferences">
    <w:name w:val="IET References"/>
    <w:basedOn w:val="Normal"/>
    <w:qFormat/>
    <w:locked/>
    <w:rsid w:val="005F0094"/>
    <w:pPr>
      <w:widowControl/>
      <w:suppressAutoHyphens w:val="0"/>
    </w:pPr>
    <w:rPr>
      <w:rFonts w:eastAsia="SimSun"/>
      <w:sz w:val="22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CC34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C340C"/>
    <w:rPr>
      <w:rFonts w:ascii="Segoe UI" w:hAnsi="Segoe UI" w:cs="Segoe UI"/>
      <w:sz w:val="18"/>
      <w:szCs w:val="18"/>
      <w:lang w:val="es-ES_tradnl" w:eastAsia="ar-SA"/>
    </w:rPr>
  </w:style>
  <w:style w:type="character" w:styleId="UnresolvedMention">
    <w:name w:val="Unresolved Mention"/>
    <w:uiPriority w:val="99"/>
    <w:semiHidden/>
    <w:unhideWhenUsed/>
    <w:rsid w:val="00C069E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0F"/>
    <w:rPr>
      <w:color w:val="666666"/>
    </w:rPr>
  </w:style>
  <w:style w:type="character" w:styleId="Emphasis">
    <w:name w:val="Emphasis"/>
    <w:basedOn w:val="DefaultParagraphFont"/>
    <w:uiPriority w:val="20"/>
    <w:qFormat/>
    <w:rsid w:val="00912DC3"/>
    <w:rPr>
      <w:i/>
      <w:iCs/>
    </w:rPr>
  </w:style>
  <w:style w:type="character" w:styleId="HTMLCite">
    <w:name w:val="HTML Cite"/>
    <w:basedOn w:val="DefaultParagraphFont"/>
    <w:uiPriority w:val="99"/>
    <w:unhideWhenUsed/>
    <w:rsid w:val="00724D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ra.suryani@unpad.ac.id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hmi21007@mail.unpad.ac.id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darrell21001@mail.unpad.ac.id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E05B7639FBBE49AA2358F25EAF11A7" ma:contentTypeVersion="11" ma:contentTypeDescription="Crée un document." ma:contentTypeScope="" ma:versionID="85ca53fd3dbec780c3bc6576273c62d8">
  <xsd:schema xmlns:xsd="http://www.w3.org/2001/XMLSchema" xmlns:xs="http://www.w3.org/2001/XMLSchema" xmlns:p="http://schemas.microsoft.com/office/2006/metadata/properties" xmlns:ns3="89cd2364-0f97-458e-8124-d88414a6e613" xmlns:ns4="fda64d2f-8c9f-4dd6-9e1c-ec5fcfdbf8db" targetNamespace="http://schemas.microsoft.com/office/2006/metadata/properties" ma:root="true" ma:fieldsID="bffb6c26b32fcac6f229388062a12c7d" ns3:_="" ns4:_="">
    <xsd:import namespace="89cd2364-0f97-458e-8124-d88414a6e613"/>
    <xsd:import namespace="fda64d2f-8c9f-4dd6-9e1c-ec5fcfdbf8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d2364-0f97-458e-8124-d88414a6e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64d2f-8c9f-4dd6-9e1c-ec5fcfdb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962081-B53E-4C79-A537-B29F4A0EB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9EC2A4-E7CB-440A-BE8B-6C790B6B1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d2364-0f97-458e-8124-d88414a6e613"/>
    <ds:schemaRef ds:uri="fda64d2f-8c9f-4dd6-9e1c-ec5fcfdb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9DF6CC-9D38-4810-80CE-DE199BEAB5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>Extended Abstract Template</vt:lpstr>
      <vt:lpstr>Extended Abstract Template</vt:lpstr>
      <vt:lpstr>Extended Abstract Template </vt:lpstr>
    </vt:vector>
  </TitlesOfParts>
  <Company>SimTech</Company>
  <LinksUpToDate>false</LinksUpToDate>
  <CharactersWithSpaces>2822</CharactersWithSpaces>
  <SharedDoc>false</SharedDoc>
  <HLinks>
    <vt:vector size="6" baseType="variant">
      <vt:variant>
        <vt:i4>8060935</vt:i4>
      </vt:variant>
      <vt:variant>
        <vt:i4>0</vt:i4>
      </vt:variant>
      <vt:variant>
        <vt:i4>0</vt:i4>
      </vt:variant>
      <vt:variant>
        <vt:i4>5</vt:i4>
      </vt:variant>
      <vt:variant>
        <vt:lpwstr>mailto:darrell21001@mail.unpad.ac.id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Abstract Template</dc:title>
  <dc:subject>EWG-DSS London-2011 Workshop</dc:subject>
  <dc:creator>Nathaniel M</dc:creator>
  <cp:keywords>Decision Systems</cp:keywords>
  <dc:description>Extended Abstract Template + Author's instructions</dc:description>
  <cp:lastModifiedBy>bour nee</cp:lastModifiedBy>
  <cp:revision>10</cp:revision>
  <cp:lastPrinted>2017-08-03T04:57:00Z</cp:lastPrinted>
  <dcterms:created xsi:type="dcterms:W3CDTF">2023-10-28T20:44:00Z</dcterms:created>
  <dcterms:modified xsi:type="dcterms:W3CDTF">2023-10-30T19:38:00Z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0x01010025E05B7639FBBE49AA2358F25EAF11A7</vt:lpwstr>
  </property>
</Properties>
</file>